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Tahoma" w:hAnsi="Tahoma" w:eastAsia="Tahoma" w:cs="Tahoma"/>
          <w:i w:val="0"/>
          <w:iCs w:val="0"/>
          <w:caps w:val="0"/>
          <w:color w:val="444444"/>
          <w:spacing w:val="0"/>
          <w:szCs w:val="21"/>
          <w:shd w:val="clear" w:fill="FFFFFF"/>
        </w:rPr>
      </w:pPr>
      <w:bookmarkStart w:id="0" w:name="_GoBack"/>
      <w:r>
        <w:rPr>
          <w:rFonts w:hint="eastAsia"/>
        </w:rPr>
        <w:t>2019年中国地质大学(武汉)地理学现代自然地理学真题回忆</w:t>
      </w:r>
      <w:bookmarkEnd w:id="0"/>
    </w:p>
    <w:p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一.名词解释  5*6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原生生物，冻融作用，夷平面，游荡型河床，水华，土壤剖面。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二.简答  15*4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人类与地表环境的关系，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地表干湿度的空间变化规律及成因，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生物与地表环境的关系与生物环境评估指标，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中国地质地貌的特征。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三.分析 30*2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若黄赤交角由23度27秒变为0度，地表环境发生什么变化。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以青藏高原为例，分析高大山系对我国地表环境分异的作用与影响。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61D2B"/>
    <w:rsid w:val="2A76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2021-08-10T08:51:00Z</dcterms:created>
  <dc:creator>湖北新文道网络部</dc:creator>
  <cp:lastModifiedBy>湖北新文道网络部</cp:lastModifiedBy>
  <dcterms:modified xsi:type="dcterms:W3CDTF">2021-08-10T08:53:01Z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9974DBF06E9E4940BD3DE9D66BA98F06</vt:lpwstr>
  </property>
</Properties>
</file>