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6"/>
    </v:background>
  </w:background>
  <w:body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一、名词解释（10*1）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1.龙山文化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2.稷下学宫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3.九品官人法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4.府兵制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5.永康学派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6.理藩院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7.厘金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8.谭嗣同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9.中美关系白皮书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10.过渡时期总路线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二、材料分析题（20*3）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1.汉兴，接秦之敝，诸侯并起，民失作业而大饥馑。凡米石五千，人相食，死者过半。高祖乃令民得卖子，就食蜀、汉。天下既定，民亡盖臧，自天子不能具醇驷，而将相或乘牛车。上于是约法省禁，轻田租，十五而税一，量吏禄，度官用，以赋于民。而山川、园池、市肆租税之人，自天子以至封君汤沐邑，皆各为私奉养，不领于天子之经费。漕转关东粟以给中都官，岁不过数十万石。孝惠、高后之间，衣食滋殖。文帝即位，躬修俭节，思安百姓。《汉书?食货志》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（1）、翻译为白话文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（2）、根据材料论述西汉初年的政策及其原因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2.牛李党争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论述牛李党争及其影响。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3.予今年二十九初度，设清代科举不停，予取科名或已早做官吏，则乙巳、丙午间似不赞成革清代命也。孙大总统上李鸿章书如见用，戊戌政变如实行立宪，宣统朝摄政王能真行立宪政体，亦不至有民国词也。（朱峙三日记）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（1）分析作者的身份及该日记时间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（2）分析清末废除科举的利弊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三.简答题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1、西晋主要社会问题。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2、北宋初年集权措施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3、近代中国租界的性质及影响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4、20世纪20—30年代乡村建设运动及其启示。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四.论述题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1.论述明朝后期社会新动向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2.试论述中国共产党领导的民众运动研究新动态，论述中共早期和国民革命时期中共领导的工农运动基本情况，评析中共领导民众运动的组织形式。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C00000"/>
        <w:sz w:val="36"/>
        <w:szCs w:val="36"/>
        <w:lang w:eastAsia="zh-CN"/>
      </w:rPr>
    </w:pPr>
    <w:r>
      <w:rPr>
        <w:rFonts w:hint="eastAsia"/>
        <w:b/>
        <w:bCs/>
        <w:color w:val="C00000"/>
        <w:sz w:val="36"/>
        <w:szCs w:val="36"/>
        <w:lang w:eastAsia="zh-CN"/>
      </w:rPr>
      <w:t>官方微博：临沂中公考研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C00000"/>
        <w:sz w:val="36"/>
        <w:szCs w:val="36"/>
      </w:rPr>
    </w:pPr>
    <w:r>
      <w:rPr>
        <w:rFonts w:hint="eastAsia"/>
        <w:b/>
        <w:bCs/>
        <w:color w:val="C00000"/>
        <w:sz w:val="36"/>
        <w:szCs w:val="36"/>
      </w:rPr>
      <w:t>2019年考研交流群-临沂 316924385</w:t>
    </w:r>
    <w:r>
      <w:rPr>
        <w:rFonts w:hint="eastAsia"/>
        <w:b/>
        <w:bCs/>
        <w:color w:val="C00000"/>
        <w:sz w:val="36"/>
        <w:szCs w:val="36"/>
        <w:lang w:val="en-US" w:eastAsia="zh-CN"/>
      </w:rPr>
      <w:t xml:space="preserve">   微信公众号：lyyjsks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7337"/>
    <w:rsid w:val="0F243E00"/>
    <w:rsid w:val="1D217AEA"/>
    <w:rsid w:val="1D6A7EC7"/>
    <w:rsid w:val="4C6B4448"/>
    <w:rsid w:val="66F3363A"/>
    <w:rsid w:val="74DA4DEC"/>
    <w:rsid w:val="76DE7F67"/>
    <w:rsid w:val="7A9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2018-03-25T06:32:54Z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